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69B" w:rsidRPr="00B2469B" w:rsidRDefault="006B1A73" w:rsidP="00B2469B">
      <w:pPr>
        <w:spacing w:after="0" w:line="450" w:lineRule="atLeast"/>
        <w:textAlignment w:val="baseline"/>
        <w:outlineLvl w:val="0"/>
        <w:rPr>
          <w:rFonts w:ascii="Century Gothic" w:eastAsia="Times New Roman" w:hAnsi="Century Gothic" w:cs="Times New Roman"/>
          <w:color w:val="59712A"/>
          <w:spacing w:val="-12"/>
          <w:kern w:val="36"/>
          <w:sz w:val="45"/>
          <w:szCs w:val="45"/>
        </w:rPr>
      </w:pPr>
      <w:r>
        <w:rPr>
          <w:rFonts w:ascii="Century Gothic" w:eastAsia="Times New Roman" w:hAnsi="Century Gothic" w:cs="Times New Roman"/>
          <w:color w:val="59712A"/>
          <w:spacing w:val="-12"/>
          <w:kern w:val="36"/>
          <w:sz w:val="45"/>
          <w:szCs w:val="45"/>
        </w:rPr>
        <w:t>Nidus Court</w:t>
      </w:r>
      <w:r w:rsidR="00984ED1">
        <w:rPr>
          <w:rFonts w:ascii="Century Gothic" w:eastAsia="Times New Roman" w:hAnsi="Century Gothic" w:cs="Times New Roman"/>
          <w:color w:val="59712A"/>
          <w:spacing w:val="-12"/>
          <w:kern w:val="36"/>
          <w:sz w:val="45"/>
          <w:szCs w:val="45"/>
        </w:rPr>
        <w:t xml:space="preserve"> Development</w:t>
      </w:r>
    </w:p>
    <w:p w:rsidR="00975690" w:rsidRDefault="00975690" w:rsidP="00B2469B">
      <w:pPr>
        <w:spacing w:after="0" w:line="300" w:lineRule="atLeast"/>
        <w:textAlignment w:val="baseline"/>
        <w:rPr>
          <w:rFonts w:ascii="Century Gothic" w:eastAsia="Times New Roman" w:hAnsi="Century Gothic" w:cs="Times New Roman"/>
          <w:color w:val="37270E"/>
          <w:sz w:val="20"/>
          <w:szCs w:val="20"/>
        </w:rPr>
      </w:pPr>
    </w:p>
    <w:p w:rsidR="001213EF" w:rsidRPr="00B2469B" w:rsidRDefault="001213EF" w:rsidP="001213EF">
      <w:pPr>
        <w:spacing w:after="0" w:line="300" w:lineRule="atLeast"/>
        <w:textAlignment w:val="baseline"/>
        <w:rPr>
          <w:rFonts w:ascii="Century Gothic" w:eastAsia="Times New Roman" w:hAnsi="Century Gothic" w:cs="Times New Roman"/>
          <w:color w:val="37270E"/>
          <w:sz w:val="20"/>
          <w:szCs w:val="20"/>
        </w:rPr>
      </w:pPr>
      <w:r>
        <w:rPr>
          <w:rFonts w:ascii="Century Gothic" w:eastAsia="Times New Roman" w:hAnsi="Century Gothic" w:cs="Times New Roman"/>
          <w:color w:val="37270E"/>
          <w:sz w:val="20"/>
          <w:szCs w:val="20"/>
        </w:rPr>
        <w:t xml:space="preserve">The </w:t>
      </w:r>
      <w:r>
        <w:rPr>
          <w:rFonts w:ascii="Century Gothic" w:eastAsia="Times New Roman" w:hAnsi="Century Gothic" w:cs="Times New Roman"/>
          <w:color w:val="37270E"/>
          <w:sz w:val="20"/>
          <w:szCs w:val="20"/>
        </w:rPr>
        <w:t>Nidus Court</w:t>
      </w:r>
      <w:r>
        <w:rPr>
          <w:rFonts w:ascii="Century Gothic" w:eastAsia="Times New Roman" w:hAnsi="Century Gothic" w:cs="Times New Roman"/>
          <w:color w:val="37270E"/>
          <w:sz w:val="20"/>
          <w:szCs w:val="20"/>
        </w:rPr>
        <w:t xml:space="preserve"> Development has 49 elderly units and is located at </w:t>
      </w:r>
      <w:r>
        <w:rPr>
          <w:rFonts w:ascii="Century Gothic" w:eastAsia="Times New Roman" w:hAnsi="Century Gothic" w:cs="Times New Roman"/>
          <w:color w:val="37270E"/>
          <w:sz w:val="20"/>
          <w:szCs w:val="20"/>
        </w:rPr>
        <w:t>2000-2052 Nidus Court</w:t>
      </w:r>
      <w:r>
        <w:rPr>
          <w:rFonts w:ascii="Century Gothic" w:eastAsia="Times New Roman" w:hAnsi="Century Gothic" w:cs="Times New Roman"/>
          <w:color w:val="37270E"/>
          <w:sz w:val="20"/>
          <w:szCs w:val="20"/>
        </w:rPr>
        <w:t xml:space="preserve"> in Union City (</w:t>
      </w:r>
      <w:r w:rsidRPr="00984ED1">
        <w:rPr>
          <w:rFonts w:ascii="Century Gothic" w:eastAsia="Times New Roman" w:hAnsi="Century Gothic" w:cs="Times New Roman"/>
          <w:color w:val="37270E"/>
          <w:sz w:val="20"/>
          <w:szCs w:val="20"/>
          <w:u w:val="single"/>
        </w:rPr>
        <w:t xml:space="preserve">do </w:t>
      </w:r>
      <w:r w:rsidRPr="00984ED1">
        <w:rPr>
          <w:rFonts w:ascii="Century Gothic" w:eastAsia="Times New Roman" w:hAnsi="Century Gothic" w:cs="Times New Roman"/>
          <w:b/>
          <w:color w:val="37270E"/>
          <w:sz w:val="20"/>
          <w:szCs w:val="20"/>
          <w:u w:val="single"/>
        </w:rPr>
        <w:t>NOT</w:t>
      </w:r>
      <w:r w:rsidRPr="00984ED1">
        <w:rPr>
          <w:rFonts w:ascii="Century Gothic" w:eastAsia="Times New Roman" w:hAnsi="Century Gothic" w:cs="Times New Roman"/>
          <w:color w:val="37270E"/>
          <w:sz w:val="20"/>
          <w:szCs w:val="20"/>
          <w:u w:val="single"/>
        </w:rPr>
        <w:t xml:space="preserve"> disturb occupants</w:t>
      </w:r>
      <w:r>
        <w:rPr>
          <w:rFonts w:ascii="Century Gothic" w:eastAsia="Times New Roman" w:hAnsi="Century Gothic" w:cs="Times New Roman"/>
          <w:color w:val="37270E"/>
          <w:sz w:val="20"/>
          <w:szCs w:val="20"/>
        </w:rPr>
        <w:t xml:space="preserve">).  All units are ground floor units.  </w:t>
      </w:r>
      <w:r>
        <w:rPr>
          <w:rFonts w:ascii="Century Gothic" w:eastAsia="Times New Roman" w:hAnsi="Century Gothic" w:cs="Times New Roman"/>
          <w:color w:val="37270E"/>
          <w:sz w:val="20"/>
          <w:szCs w:val="20"/>
        </w:rPr>
        <w:t>The property is within 2</w:t>
      </w:r>
      <w:r>
        <w:rPr>
          <w:rFonts w:ascii="Century Gothic" w:eastAsia="Times New Roman" w:hAnsi="Century Gothic" w:cs="Times New Roman"/>
          <w:color w:val="37270E"/>
          <w:sz w:val="20"/>
          <w:szCs w:val="20"/>
        </w:rPr>
        <w:t>/10 of a mile of a supermarket</w:t>
      </w:r>
      <w:r>
        <w:rPr>
          <w:rFonts w:ascii="Century Gothic" w:eastAsia="Times New Roman" w:hAnsi="Century Gothic" w:cs="Times New Roman"/>
          <w:color w:val="37270E"/>
          <w:sz w:val="20"/>
          <w:szCs w:val="20"/>
        </w:rPr>
        <w:t>, pharmacy, senior center, library,</w:t>
      </w:r>
      <w:r>
        <w:rPr>
          <w:rFonts w:ascii="Century Gothic" w:eastAsia="Times New Roman" w:hAnsi="Century Gothic" w:cs="Times New Roman"/>
          <w:color w:val="37270E"/>
          <w:sz w:val="20"/>
          <w:szCs w:val="20"/>
        </w:rPr>
        <w:t xml:space="preserve"> and bus stop.  The property is within </w:t>
      </w:r>
      <w:r>
        <w:rPr>
          <w:rFonts w:ascii="Century Gothic" w:eastAsia="Times New Roman" w:hAnsi="Century Gothic" w:cs="Times New Roman"/>
          <w:color w:val="37270E"/>
          <w:sz w:val="20"/>
          <w:szCs w:val="20"/>
        </w:rPr>
        <w:t>4</w:t>
      </w:r>
      <w:r>
        <w:rPr>
          <w:rFonts w:ascii="Century Gothic" w:eastAsia="Times New Roman" w:hAnsi="Century Gothic" w:cs="Times New Roman"/>
          <w:color w:val="37270E"/>
          <w:sz w:val="20"/>
          <w:szCs w:val="20"/>
        </w:rPr>
        <w:t xml:space="preserve">/10 of mile of </w:t>
      </w:r>
      <w:proofErr w:type="gramStart"/>
      <w:r>
        <w:rPr>
          <w:rFonts w:ascii="Century Gothic" w:eastAsia="Times New Roman" w:hAnsi="Century Gothic" w:cs="Times New Roman"/>
          <w:color w:val="37270E"/>
          <w:sz w:val="20"/>
          <w:szCs w:val="20"/>
        </w:rPr>
        <w:t>a</w:t>
      </w:r>
      <w:proofErr w:type="gramEnd"/>
      <w:r>
        <w:rPr>
          <w:rFonts w:ascii="Century Gothic" w:eastAsia="Times New Roman" w:hAnsi="Century Gothic" w:cs="Times New Roman"/>
          <w:color w:val="37270E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color w:val="37270E"/>
          <w:sz w:val="20"/>
          <w:szCs w:val="20"/>
        </w:rPr>
        <w:t>a</w:t>
      </w:r>
      <w:proofErr w:type="spellEnd"/>
      <w:r>
        <w:rPr>
          <w:rFonts w:ascii="Century Gothic" w:eastAsia="Times New Roman" w:hAnsi="Century Gothic" w:cs="Times New Roman"/>
          <w:color w:val="37270E"/>
          <w:sz w:val="20"/>
          <w:szCs w:val="20"/>
        </w:rPr>
        <w:t xml:space="preserve"> park.  Community Amenities include a community room and on site-laundry.    The owner pays for water and trash collection and provides a stove and refrigerator.</w:t>
      </w:r>
    </w:p>
    <w:p w:rsidR="00984ED1" w:rsidRDefault="00984ED1" w:rsidP="00B2469B">
      <w:pPr>
        <w:spacing w:after="0" w:line="300" w:lineRule="atLeast"/>
        <w:textAlignment w:val="baseline"/>
        <w:rPr>
          <w:rFonts w:ascii="Century Gothic" w:eastAsia="Times New Roman" w:hAnsi="Century Gothic" w:cs="Times New Roman"/>
          <w:color w:val="37270E"/>
          <w:sz w:val="20"/>
          <w:szCs w:val="20"/>
        </w:rPr>
      </w:pPr>
    </w:p>
    <w:p w:rsidR="00984ED1" w:rsidRDefault="00984ED1" w:rsidP="00B2469B">
      <w:pPr>
        <w:spacing w:after="0" w:line="300" w:lineRule="atLeast"/>
        <w:textAlignment w:val="baseline"/>
        <w:rPr>
          <w:rFonts w:ascii="Century Gothic" w:eastAsia="Times New Roman" w:hAnsi="Century Gothic" w:cs="Times New Roman"/>
          <w:color w:val="37270E"/>
          <w:sz w:val="20"/>
          <w:szCs w:val="20"/>
        </w:rPr>
      </w:pPr>
      <w:r>
        <w:rPr>
          <w:rFonts w:ascii="Century Gothic" w:eastAsia="Times New Roman" w:hAnsi="Century Gothic" w:cs="Times New Roman"/>
          <w:color w:val="37270E"/>
          <w:sz w:val="20"/>
          <w:szCs w:val="20"/>
        </w:rPr>
        <w:br w:type="textWrapping" w:clear="all"/>
      </w:r>
      <w:r w:rsidR="006E34C8">
        <w:rPr>
          <w:rFonts w:ascii="Arial" w:hAnsi="Arial" w:cs="Arial"/>
          <w:noProof/>
          <w:color w:val="A00000"/>
          <w:sz w:val="17"/>
          <w:szCs w:val="17"/>
        </w:rPr>
        <w:drawing>
          <wp:inline distT="0" distB="0" distL="0" distR="0" wp14:anchorId="3251E9CD" wp14:editId="59B26972">
            <wp:extent cx="2667000" cy="1996440"/>
            <wp:effectExtent l="0" t="0" r="0" b="3810"/>
            <wp:docPr id="13" name="Picture 13" descr="Nidus Court recreation hall west 1 17 0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dus Court recreation hall west 1 17 0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34C8">
        <w:rPr>
          <w:rFonts w:ascii="Century Gothic" w:eastAsia="Times New Roman" w:hAnsi="Century Gothic" w:cs="Times New Roman"/>
          <w:color w:val="37270E"/>
          <w:sz w:val="20"/>
          <w:szCs w:val="20"/>
        </w:rPr>
        <w:t xml:space="preserve"> </w:t>
      </w:r>
      <w:r w:rsidR="006E34C8">
        <w:rPr>
          <w:rFonts w:ascii="Arial" w:hAnsi="Arial" w:cs="Arial"/>
          <w:noProof/>
          <w:color w:val="A00000"/>
          <w:sz w:val="17"/>
          <w:szCs w:val="17"/>
        </w:rPr>
        <w:drawing>
          <wp:inline distT="0" distB="0" distL="0" distR="0" wp14:anchorId="70B16842" wp14:editId="166A2075">
            <wp:extent cx="2667000" cy="1996440"/>
            <wp:effectExtent l="0" t="0" r="0" b="3810"/>
            <wp:docPr id="14" name="Picture 14" descr="Nidus Court Common Area  2-01   2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dus Court Common Area  2-01   2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4C8" w:rsidRDefault="006E34C8" w:rsidP="00B2469B">
      <w:pPr>
        <w:spacing w:after="0" w:line="300" w:lineRule="atLeast"/>
        <w:textAlignment w:val="baseline"/>
        <w:rPr>
          <w:rFonts w:ascii="Century Gothic" w:eastAsia="Times New Roman" w:hAnsi="Century Gothic" w:cs="Times New Roman"/>
          <w:color w:val="37270E"/>
          <w:sz w:val="20"/>
          <w:szCs w:val="20"/>
        </w:rPr>
      </w:pPr>
    </w:p>
    <w:p w:rsidR="006E34C8" w:rsidRDefault="006E34C8" w:rsidP="00B2469B">
      <w:pPr>
        <w:spacing w:after="0" w:line="300" w:lineRule="atLeast"/>
        <w:textAlignment w:val="baseline"/>
        <w:rPr>
          <w:rFonts w:ascii="Century Gothic" w:eastAsia="Times New Roman" w:hAnsi="Century Gothic" w:cs="Times New Roman"/>
          <w:color w:val="37270E"/>
          <w:sz w:val="20"/>
          <w:szCs w:val="20"/>
        </w:rPr>
      </w:pPr>
      <w:r>
        <w:rPr>
          <w:rFonts w:ascii="Arial" w:hAnsi="Arial" w:cs="Arial"/>
          <w:noProof/>
          <w:color w:val="A00000"/>
          <w:sz w:val="17"/>
          <w:szCs w:val="17"/>
        </w:rPr>
        <w:drawing>
          <wp:inline distT="0" distB="0" distL="0" distR="0" wp14:anchorId="2493F228" wp14:editId="285635C7">
            <wp:extent cx="2667000" cy="1996440"/>
            <wp:effectExtent l="0" t="0" r="0" b="3810"/>
            <wp:docPr id="15" name="Picture 15" descr="Nidus Court Bldg. 2052 ext.  2-01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idus Court Bldg. 2052 ext.  2-01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eastAsia="Times New Roman" w:hAnsi="Century Gothic" w:cs="Times New Roman"/>
          <w:color w:val="37270E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A00000"/>
          <w:sz w:val="17"/>
          <w:szCs w:val="17"/>
        </w:rPr>
        <w:drawing>
          <wp:inline distT="0" distB="0" distL="0" distR="0" wp14:anchorId="53DC6447" wp14:editId="2B50BA63">
            <wp:extent cx="2667000" cy="1996440"/>
            <wp:effectExtent l="0" t="0" r="0" b="3810"/>
            <wp:docPr id="16" name="Picture 16" descr="Nidus Court residence Jan 17 01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idus Court residence Jan 17 01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2469B" w:rsidRDefault="00B2469B" w:rsidP="009D7AA6">
      <w:pPr>
        <w:spacing w:after="0" w:line="300" w:lineRule="atLeast"/>
        <w:jc w:val="center"/>
        <w:textAlignment w:val="baseline"/>
        <w:rPr>
          <w:rFonts w:ascii="Century Gothic" w:eastAsia="Times New Roman" w:hAnsi="Century Gothic" w:cs="Times New Roman"/>
          <w:color w:val="37270E"/>
          <w:sz w:val="20"/>
          <w:szCs w:val="20"/>
        </w:rPr>
      </w:pPr>
    </w:p>
    <w:p w:rsidR="00B2469B" w:rsidRDefault="00B2469B" w:rsidP="00B2469B">
      <w:pPr>
        <w:spacing w:after="0" w:line="300" w:lineRule="atLeast"/>
        <w:textAlignment w:val="baseline"/>
        <w:rPr>
          <w:rFonts w:ascii="Century Gothic" w:eastAsia="Times New Roman" w:hAnsi="Century Gothic" w:cs="Times New Roman"/>
          <w:color w:val="37270E"/>
          <w:sz w:val="20"/>
          <w:szCs w:val="20"/>
        </w:rPr>
      </w:pPr>
      <w:r>
        <w:rPr>
          <w:rFonts w:ascii="Century Gothic" w:eastAsia="Times New Roman" w:hAnsi="Century Gothic" w:cs="Times New Roman"/>
          <w:color w:val="37270E"/>
          <w:sz w:val="20"/>
          <w:szCs w:val="20"/>
        </w:rPr>
        <w:t xml:space="preserve">  </w:t>
      </w:r>
    </w:p>
    <w:p w:rsidR="00B2469B" w:rsidRDefault="00B2469B" w:rsidP="00B2469B">
      <w:pPr>
        <w:spacing w:after="0" w:line="300" w:lineRule="atLeast"/>
        <w:textAlignment w:val="baseline"/>
        <w:rPr>
          <w:rFonts w:ascii="Century Gothic" w:eastAsia="Times New Roman" w:hAnsi="Century Gothic" w:cs="Times New Roman"/>
          <w:color w:val="37270E"/>
          <w:sz w:val="20"/>
          <w:szCs w:val="20"/>
        </w:rPr>
      </w:pPr>
    </w:p>
    <w:p w:rsidR="00207059" w:rsidRDefault="00207059"/>
    <w:sectPr w:rsidR="002070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45A52"/>
    <w:multiLevelType w:val="multilevel"/>
    <w:tmpl w:val="64AA3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69B"/>
    <w:rsid w:val="001213EF"/>
    <w:rsid w:val="00207059"/>
    <w:rsid w:val="00235D42"/>
    <w:rsid w:val="006B1A73"/>
    <w:rsid w:val="006E34C8"/>
    <w:rsid w:val="00975690"/>
    <w:rsid w:val="00984ED1"/>
    <w:rsid w:val="009D7AA6"/>
    <w:rsid w:val="00AF426D"/>
    <w:rsid w:val="00B2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4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6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4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2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6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86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1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9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24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80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30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80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989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318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78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877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8128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2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777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1787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522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184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2069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329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443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9243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86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384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676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9294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3603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2875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704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7316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791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0900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8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0386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8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6367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471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6665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601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9006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3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778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1192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105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890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97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7413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105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8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139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877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8365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616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3367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8180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6075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54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332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2882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0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116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100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652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010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4044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891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4655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1093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71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9842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65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2610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9231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7667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505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4768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7099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709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496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890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0548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3411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5192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9620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382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ca.net/index.php/applicants/housing-programs14/nidus-court/view-image/4dd351bcf5353f43170b8aaab98ca2a4/jpg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www.haca.net/index.php/applicants/housing-programs14/nidus-court/view-image/894c9444630cd9f07dfecf67d3479468/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ca.net/index.php/applicants/housing-programs14/nidus-court/view-image/27cfa9a423dbdfe974ef9b8026c5ab2d/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haca.net/index.php/applicants/housing-programs14/nidus-court/view-image/87d9e00e262ab6c9475746a0fc686990/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HACA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Cado, Jennifer</dc:creator>
  <cp:lastModifiedBy>Cado, Jennifer</cp:lastModifiedBy>
  <cp:revision>5</cp:revision>
  <dcterms:created xsi:type="dcterms:W3CDTF">2015-01-08T21:10:00Z</dcterms:created>
  <dcterms:modified xsi:type="dcterms:W3CDTF">2015-01-08T21:26:00Z</dcterms:modified>
</cp:coreProperties>
</file>